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D27D" w14:textId="5224627E" w:rsidR="00A707BC" w:rsidRPr="00E45BFD" w:rsidRDefault="00A707BC" w:rsidP="00F92B67">
      <w:pPr>
        <w:pStyle w:val="Title"/>
        <w:tabs>
          <w:tab w:val="left" w:pos="9270"/>
        </w:tabs>
        <w:rPr>
          <w:rFonts w:ascii="Open Sans" w:hAnsi="Open Sans" w:cs="Open Sans"/>
          <w:b/>
          <w:color w:val="115E67"/>
        </w:rPr>
      </w:pPr>
      <w:r>
        <w:rPr>
          <w:rFonts w:ascii="Open Sans" w:hAnsi="Open Sans" w:cs="Open Sans"/>
          <w:b/>
          <w:color w:val="115E67"/>
        </w:rPr>
        <w:t>202</w:t>
      </w:r>
      <w:r w:rsidR="004F43C8">
        <w:rPr>
          <w:rFonts w:ascii="Open Sans" w:hAnsi="Open Sans" w:cs="Open Sans"/>
          <w:b/>
          <w:color w:val="115E67"/>
        </w:rPr>
        <w:t>5</w:t>
      </w:r>
      <w:r>
        <w:rPr>
          <w:rFonts w:ascii="Open Sans" w:hAnsi="Open Sans" w:cs="Open Sans"/>
          <w:b/>
          <w:color w:val="115E67"/>
        </w:rPr>
        <w:t xml:space="preserve"> Commission Overview</w:t>
      </w:r>
      <w:r w:rsidR="00F92B67">
        <w:rPr>
          <w:rFonts w:ascii="Open Sans" w:hAnsi="Open Sans" w:cs="Open Sans"/>
          <w:b/>
          <w:color w:val="115E67"/>
        </w:rPr>
        <w:t xml:space="preserve">   </w:t>
      </w:r>
      <w:r w:rsidR="00F92B67">
        <w:rPr>
          <w:rFonts w:ascii="Open Sans" w:hAnsi="Open Sans" w:cs="Open Sans"/>
          <w:b/>
          <w:noProof/>
          <w:color w:val="115E67"/>
        </w:rPr>
        <w:drawing>
          <wp:inline distT="0" distB="0" distL="0" distR="0" wp14:anchorId="71D33B3A" wp14:editId="4F941914">
            <wp:extent cx="1905000" cy="847354"/>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041" cy="902528"/>
                    </a:xfrm>
                    <a:prstGeom prst="rect">
                      <a:avLst/>
                    </a:prstGeom>
                    <a:noFill/>
                    <a:ln>
                      <a:noFill/>
                    </a:ln>
                  </pic:spPr>
                </pic:pic>
              </a:graphicData>
            </a:graphic>
          </wp:inline>
        </w:drawing>
      </w:r>
      <w:r w:rsidR="00F92B67">
        <w:rPr>
          <w:rFonts w:ascii="Open Sans" w:hAnsi="Open Sans" w:cs="Open Sans"/>
          <w:b/>
          <w:color w:val="115E67"/>
        </w:rPr>
        <w:tab/>
      </w:r>
    </w:p>
    <w:p w14:paraId="0837B87D" w14:textId="77777777" w:rsidR="00E45BFD" w:rsidRDefault="00E45BFD" w:rsidP="00E45BFD">
      <w:pPr>
        <w:rPr>
          <w:rFonts w:ascii="Open Sans" w:hAnsi="Open Sans" w:cs="Open Sans"/>
          <w:color w:val="FFFFFF" w:themeColor="background1"/>
        </w:rPr>
      </w:pPr>
    </w:p>
    <w:tbl>
      <w:tblPr>
        <w:tblStyle w:val="GridTable4-Accent3"/>
        <w:tblW w:w="0" w:type="auto"/>
        <w:tblLook w:val="04A0" w:firstRow="1" w:lastRow="0" w:firstColumn="1" w:lastColumn="0" w:noHBand="0" w:noVBand="1"/>
      </w:tblPr>
      <w:tblGrid>
        <w:gridCol w:w="10790"/>
      </w:tblGrid>
      <w:tr w:rsidR="00E45BFD" w:rsidRPr="00057780" w14:paraId="65C0E9BB" w14:textId="77777777" w:rsidTr="0026254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115E67"/>
            <w:vAlign w:val="center"/>
          </w:tcPr>
          <w:p w14:paraId="69651419" w14:textId="77777777" w:rsidR="00E45BFD" w:rsidRPr="00057780" w:rsidRDefault="00E45BFD" w:rsidP="00E45BFD">
            <w:pPr>
              <w:rPr>
                <w:rFonts w:ascii="Open Sans" w:hAnsi="Open Sans" w:cs="Open Sans"/>
                <w:b w:val="0"/>
              </w:rPr>
            </w:pPr>
            <w:r>
              <w:rPr>
                <w:sz w:val="32"/>
                <w:szCs w:val="32"/>
              </w:rPr>
              <w:t>Agent Compensation Eligibility Requirements</w:t>
            </w:r>
          </w:p>
        </w:tc>
      </w:tr>
    </w:tbl>
    <w:p w14:paraId="3C66C7E9" w14:textId="04BA564E" w:rsidR="00E45BFD" w:rsidRPr="008B2A00" w:rsidRDefault="00E45BFD" w:rsidP="00E45BFD">
      <w:pPr>
        <w:rPr>
          <w:rFonts w:cstheme="minorHAnsi"/>
          <w:color w:val="FFFFFF" w:themeColor="background1"/>
        </w:rPr>
      </w:pPr>
      <w:r w:rsidRPr="008B2A00">
        <w:rPr>
          <w:rFonts w:cstheme="minorHAnsi"/>
        </w:rPr>
        <w:t>To receive compensation from ATRIO, agents must be appointed to sell in the State (if required), be annually trained and tested, maintain a valid State license, have a current contract, and be in good standing with ATRIO.  These provisions apply to both initial and renewal year applications.</w:t>
      </w:r>
    </w:p>
    <w:p w14:paraId="56CD7522" w14:textId="51D70331" w:rsidR="00E45BFD" w:rsidRPr="008B2A00" w:rsidRDefault="00E45BFD" w:rsidP="00E45BFD">
      <w:pPr>
        <w:rPr>
          <w:rFonts w:cstheme="minorHAnsi"/>
        </w:rPr>
      </w:pPr>
      <w:r w:rsidRPr="008B2A00">
        <w:rPr>
          <w:rFonts w:cstheme="minorHAnsi"/>
        </w:rPr>
        <w:t>Failure to complete and maintain any or all requirements will result in termination of historical renewal compensation payments. Outstanding requirements will be tracked and maintained monthly by the Sales Operations Department.</w:t>
      </w:r>
    </w:p>
    <w:tbl>
      <w:tblPr>
        <w:tblStyle w:val="GridTable4-Accent3"/>
        <w:tblW w:w="0" w:type="auto"/>
        <w:tblLook w:val="04A0" w:firstRow="1" w:lastRow="0" w:firstColumn="1" w:lastColumn="0" w:noHBand="0" w:noVBand="1"/>
      </w:tblPr>
      <w:tblGrid>
        <w:gridCol w:w="3595"/>
        <w:gridCol w:w="2398"/>
        <w:gridCol w:w="2398"/>
        <w:gridCol w:w="2399"/>
      </w:tblGrid>
      <w:tr w:rsidR="00E45BFD" w:rsidRPr="00C54064" w14:paraId="6ECF4CFF" w14:textId="77777777" w:rsidTr="00AF5D2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4"/>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115E67"/>
            <w:vAlign w:val="center"/>
          </w:tcPr>
          <w:p w14:paraId="0FB0057D" w14:textId="1D55A4ED" w:rsidR="00E45BFD" w:rsidRPr="00057780" w:rsidRDefault="00E45BFD" w:rsidP="00E45BFD">
            <w:pPr>
              <w:rPr>
                <w:rFonts w:ascii="Open Sans" w:hAnsi="Open Sans" w:cs="Open Sans"/>
                <w:b w:val="0"/>
              </w:rPr>
            </w:pPr>
            <w:bookmarkStart w:id="0" w:name="_Hlk91106907"/>
            <w:r>
              <w:rPr>
                <w:sz w:val="32"/>
                <w:szCs w:val="32"/>
              </w:rPr>
              <w:t>Compensation Structure</w:t>
            </w:r>
          </w:p>
        </w:tc>
      </w:tr>
      <w:bookmarkEnd w:id="0"/>
      <w:tr w:rsidR="00F25C28" w:rsidRPr="00C54064" w14:paraId="78892D66" w14:textId="77777777" w:rsidTr="00533F48">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595" w:type="dxa"/>
            <w:tcBorders>
              <w:top w:val="single" w:sz="4" w:space="0" w:color="D0CECE" w:themeColor="background2" w:themeShade="E6"/>
              <w:left w:val="single" w:sz="4" w:space="0" w:color="FFFFFF" w:themeColor="background1"/>
              <w:bottom w:val="single" w:sz="4" w:space="0" w:color="FFFFFF" w:themeColor="background1"/>
              <w:right w:val="single" w:sz="4" w:space="0" w:color="FFFFFF" w:themeColor="background1"/>
            </w:tcBorders>
            <w:shd w:val="clear" w:color="auto" w:fill="auto"/>
          </w:tcPr>
          <w:p w14:paraId="71F0FC80" w14:textId="37B17FBD" w:rsidR="00E45BFD" w:rsidRPr="00C54064" w:rsidRDefault="00E45BFD">
            <w:pPr>
              <w:rPr>
                <w:rFonts w:ascii="Open Sans" w:hAnsi="Open Sans" w:cs="Open Sans"/>
                <w:b w:val="0"/>
                <w:sz w:val="10"/>
              </w:rPr>
            </w:pPr>
          </w:p>
        </w:tc>
        <w:tc>
          <w:tcPr>
            <w:tcW w:w="2398" w:type="dxa"/>
            <w:tcBorders>
              <w:top w:val="single" w:sz="4" w:space="0" w:color="D0CECE" w:themeColor="background2" w:themeShade="E6"/>
              <w:left w:val="single" w:sz="4" w:space="0" w:color="FFFFFF" w:themeColor="background1"/>
              <w:bottom w:val="single" w:sz="4" w:space="0" w:color="FFFFFF" w:themeColor="background1"/>
              <w:right w:val="single" w:sz="4" w:space="0" w:color="FFFFFF" w:themeColor="background1"/>
            </w:tcBorders>
            <w:shd w:val="clear" w:color="auto" w:fill="auto"/>
          </w:tcPr>
          <w:p w14:paraId="4513AFC3" w14:textId="77777777" w:rsidR="00F25C28" w:rsidRPr="00C54064" w:rsidRDefault="00F25C28">
            <w:pPr>
              <w:cnfStyle w:val="000000100000" w:firstRow="0" w:lastRow="0" w:firstColumn="0" w:lastColumn="0" w:oddVBand="0" w:evenVBand="0" w:oddHBand="1" w:evenHBand="0" w:firstRowFirstColumn="0" w:firstRowLastColumn="0" w:lastRowFirstColumn="0" w:lastRowLastColumn="0"/>
              <w:rPr>
                <w:rFonts w:ascii="Open Sans" w:hAnsi="Open Sans" w:cs="Open Sans"/>
                <w:sz w:val="10"/>
              </w:rPr>
            </w:pPr>
          </w:p>
        </w:tc>
        <w:tc>
          <w:tcPr>
            <w:tcW w:w="2398" w:type="dxa"/>
            <w:tcBorders>
              <w:top w:val="single" w:sz="4" w:space="0" w:color="D0CECE" w:themeColor="background2" w:themeShade="E6"/>
              <w:left w:val="single" w:sz="4" w:space="0" w:color="FFFFFF" w:themeColor="background1"/>
              <w:bottom w:val="single" w:sz="4" w:space="0" w:color="FFFFFF" w:themeColor="background1"/>
              <w:right w:val="single" w:sz="4" w:space="0" w:color="FFFFFF" w:themeColor="background1"/>
            </w:tcBorders>
            <w:shd w:val="clear" w:color="auto" w:fill="auto"/>
          </w:tcPr>
          <w:p w14:paraId="1F4AB005" w14:textId="77777777" w:rsidR="00F25C28" w:rsidRPr="00C54064" w:rsidRDefault="00F25C28">
            <w:pPr>
              <w:cnfStyle w:val="000000100000" w:firstRow="0" w:lastRow="0" w:firstColumn="0" w:lastColumn="0" w:oddVBand="0" w:evenVBand="0" w:oddHBand="1" w:evenHBand="0" w:firstRowFirstColumn="0" w:firstRowLastColumn="0" w:lastRowFirstColumn="0" w:lastRowLastColumn="0"/>
              <w:rPr>
                <w:rFonts w:ascii="Open Sans" w:hAnsi="Open Sans" w:cs="Open Sans"/>
                <w:sz w:val="10"/>
              </w:rPr>
            </w:pPr>
          </w:p>
        </w:tc>
        <w:tc>
          <w:tcPr>
            <w:tcW w:w="2399" w:type="dxa"/>
            <w:tcBorders>
              <w:top w:val="single" w:sz="4" w:space="0" w:color="D0CECE" w:themeColor="background2" w:themeShade="E6"/>
              <w:left w:val="single" w:sz="4" w:space="0" w:color="FFFFFF" w:themeColor="background1"/>
              <w:bottom w:val="single" w:sz="4" w:space="0" w:color="FFFFFF" w:themeColor="background1"/>
              <w:right w:val="single" w:sz="4" w:space="0" w:color="FFFFFF" w:themeColor="background1"/>
            </w:tcBorders>
            <w:shd w:val="clear" w:color="auto" w:fill="auto"/>
          </w:tcPr>
          <w:p w14:paraId="0F4F840A" w14:textId="77777777" w:rsidR="00F25C28" w:rsidRPr="00C54064" w:rsidRDefault="00F25C28">
            <w:pPr>
              <w:cnfStyle w:val="000000100000" w:firstRow="0" w:lastRow="0" w:firstColumn="0" w:lastColumn="0" w:oddVBand="0" w:evenVBand="0" w:oddHBand="1" w:evenHBand="0" w:firstRowFirstColumn="0" w:firstRowLastColumn="0" w:lastRowFirstColumn="0" w:lastRowLastColumn="0"/>
              <w:rPr>
                <w:rFonts w:ascii="Open Sans" w:hAnsi="Open Sans" w:cs="Open Sans"/>
                <w:sz w:val="10"/>
              </w:rPr>
            </w:pPr>
          </w:p>
        </w:tc>
      </w:tr>
    </w:tbl>
    <w:p w14:paraId="7600A548" w14:textId="5235DAA1" w:rsidR="00473811" w:rsidRPr="00473811" w:rsidRDefault="00473811">
      <w:pPr>
        <w:rPr>
          <w:b/>
          <w:bCs/>
          <w:u w:val="single"/>
        </w:rPr>
      </w:pPr>
      <w:r w:rsidRPr="00473811">
        <w:rPr>
          <w:b/>
          <w:bCs/>
          <w:u w:val="single"/>
        </w:rPr>
        <w:t>New Business</w:t>
      </w:r>
    </w:p>
    <w:p w14:paraId="1CB08D98" w14:textId="3CC3596B" w:rsidR="00277775" w:rsidRDefault="00B951DC">
      <w:r>
        <w:t>In</w:t>
      </w:r>
      <w:r w:rsidR="008B2A00">
        <w:t xml:space="preserve"> 2022, ATRIO Health Plans </w:t>
      </w:r>
      <w:r>
        <w:t xml:space="preserve">began </w:t>
      </w:r>
      <w:r w:rsidR="00277775">
        <w:t>pay</w:t>
      </w:r>
      <w:r>
        <w:t>ing</w:t>
      </w:r>
      <w:r w:rsidR="008B2A00">
        <w:t xml:space="preserve"> out commissions on a bi-weekly schedule.  </w:t>
      </w:r>
      <w:r w:rsidR="00392613">
        <w:t>This schedule will continue through 202</w:t>
      </w:r>
      <w:r w:rsidR="004F43C8">
        <w:t>4</w:t>
      </w:r>
      <w:r w:rsidR="008F4981">
        <w:t xml:space="preserve"> and 202</w:t>
      </w:r>
      <w:r w:rsidR="004F43C8">
        <w:t>5</w:t>
      </w:r>
      <w:r w:rsidR="00392613">
        <w:t xml:space="preserve">.  </w:t>
      </w:r>
      <w:r w:rsidR="00D32633" w:rsidRPr="00D32633">
        <w:t xml:space="preserve">Payment of the CMS defined renewal rate will be paid on the cycle following CMS approval </w:t>
      </w:r>
      <w:r w:rsidR="00D32633">
        <w:t>for all</w:t>
      </w:r>
      <w:r w:rsidR="00D32633" w:rsidRPr="00D32633">
        <w:t xml:space="preserve"> enrollment</w:t>
      </w:r>
      <w:r w:rsidR="00D32633">
        <w:t>s</w:t>
      </w:r>
      <w:r w:rsidR="00D32633" w:rsidRPr="00D32633">
        <w:t>.</w:t>
      </w:r>
      <w:r w:rsidR="008B2A00">
        <w:t xml:space="preserve"> </w:t>
      </w:r>
    </w:p>
    <w:p w14:paraId="4F786662" w14:textId="77777777" w:rsidR="00D32633" w:rsidRDefault="00D32633">
      <w:r w:rsidRPr="004D6DFA">
        <w:rPr>
          <w:b/>
          <w:bCs/>
          <w:u w:val="single"/>
        </w:rPr>
        <w:t>Initial Enrollments</w:t>
      </w:r>
      <w:r>
        <w:t xml:space="preserve">:  </w:t>
      </w:r>
    </w:p>
    <w:p w14:paraId="0375ACC2" w14:textId="45CFC9AA" w:rsidR="00D32633" w:rsidRDefault="00D32633" w:rsidP="00D32633">
      <w:pPr>
        <w:pStyle w:val="ListParagraph"/>
        <w:numPr>
          <w:ilvl w:val="0"/>
          <w:numId w:val="5"/>
        </w:numPr>
      </w:pPr>
      <w:r>
        <w:t xml:space="preserve">CMS classifies initial enrollments as those members new to Medicare and MAPD plans.  CMS notifies ATRIO of the enrollment type on a monthly file.  Those enrollments that fall into the “Initial” category are </w:t>
      </w:r>
      <w:proofErr w:type="gramStart"/>
      <w:r>
        <w:t>due</w:t>
      </w:r>
      <w:proofErr w:type="gramEnd"/>
      <w:r>
        <w:t xml:space="preserve"> a “true-up” amount.  True-up refers to the additional commission amount owed to bring the total payment to meet the full commission amount for an initial enrollment.</w:t>
      </w:r>
    </w:p>
    <w:p w14:paraId="03D011F2" w14:textId="6FCE3652" w:rsidR="00D32633" w:rsidRDefault="00D32633" w:rsidP="00D32633">
      <w:pPr>
        <w:pStyle w:val="ListParagraph"/>
        <w:numPr>
          <w:ilvl w:val="0"/>
          <w:numId w:val="5"/>
        </w:numPr>
      </w:pPr>
      <w:r>
        <w:t>The 1</w:t>
      </w:r>
      <w:r w:rsidRPr="00D32633">
        <w:rPr>
          <w:vertAlign w:val="superscript"/>
        </w:rPr>
        <w:t>st</w:t>
      </w:r>
      <w:r>
        <w:t xml:space="preserve"> commission payment each month will include the “true-up” payment for any enrollments identified as “Initial” on the monthly CMS compensation reports.</w:t>
      </w:r>
    </w:p>
    <w:p w14:paraId="5506DD33" w14:textId="7EDCBF02" w:rsidR="004D6DFA" w:rsidRDefault="004D6DFA" w:rsidP="00D32633">
      <w:pPr>
        <w:pStyle w:val="ListParagraph"/>
        <w:numPr>
          <w:ilvl w:val="0"/>
          <w:numId w:val="5"/>
        </w:numPr>
      </w:pPr>
      <w:r>
        <w:t>Full Renewal Rate + True-Up Amount = Full Commission for an initial enrollment</w:t>
      </w:r>
    </w:p>
    <w:p w14:paraId="613845A6" w14:textId="4FFFDF30" w:rsidR="00473811" w:rsidRPr="004D6DFA" w:rsidRDefault="00ED1ACA">
      <w:r>
        <w:rPr>
          <w:b/>
          <w:bCs/>
          <w:u w:val="single"/>
        </w:rPr>
        <w:t>R</w:t>
      </w:r>
      <w:r w:rsidR="00473811" w:rsidRPr="00473811">
        <w:rPr>
          <w:b/>
          <w:bCs/>
          <w:u w:val="single"/>
        </w:rPr>
        <w:t>enewal</w:t>
      </w:r>
      <w:r w:rsidR="004D6DFA">
        <w:rPr>
          <w:b/>
          <w:bCs/>
          <w:u w:val="single"/>
        </w:rPr>
        <w:t>s</w:t>
      </w:r>
      <w:r w:rsidR="004D6DFA">
        <w:t>: ATRIO members in year 2 and beyond</w:t>
      </w:r>
    </w:p>
    <w:p w14:paraId="1A5C76AB" w14:textId="254D9774" w:rsidR="00473811" w:rsidRDefault="00473811">
      <w:r>
        <w:t>Renewals</w:t>
      </w:r>
      <w:r w:rsidR="003A1738">
        <w:t xml:space="preserve"> </w:t>
      </w:r>
      <w:r>
        <w:t xml:space="preserve">for existing membership will be paid monthly as 1/12 the annual renewal amount per member.  </w:t>
      </w:r>
      <w:proofErr w:type="gramStart"/>
      <w:r>
        <w:t>As long as</w:t>
      </w:r>
      <w:proofErr w:type="gramEnd"/>
      <w:r>
        <w:t xml:space="preserve"> the agent maintains eligibility, renewal payments will continue for the life of the policy at the rate of the initial effective year of the member.</w:t>
      </w:r>
    </w:p>
    <w:p w14:paraId="170F4523" w14:textId="3B2E4AB3" w:rsidR="004D6DFA" w:rsidRPr="004D6DFA" w:rsidRDefault="004D6DFA" w:rsidP="004D6DFA">
      <w:pPr>
        <w:rPr>
          <w:b/>
          <w:bCs/>
          <w:u w:val="single"/>
        </w:rPr>
      </w:pPr>
      <w:r w:rsidRPr="004D6DFA">
        <w:rPr>
          <w:b/>
          <w:bCs/>
          <w:u w:val="single"/>
        </w:rPr>
        <w:t>202</w:t>
      </w:r>
      <w:r w:rsidR="004701EB">
        <w:rPr>
          <w:b/>
          <w:bCs/>
          <w:u w:val="single"/>
        </w:rPr>
        <w:t>5</w:t>
      </w:r>
      <w:r w:rsidRPr="004D6DFA">
        <w:rPr>
          <w:b/>
          <w:bCs/>
          <w:u w:val="single"/>
        </w:rPr>
        <w:t xml:space="preserve"> MAPD Maximum Commission Amounts as determined by CMS:</w:t>
      </w:r>
    </w:p>
    <w:p w14:paraId="3B597CC9" w14:textId="165DF8EB" w:rsidR="004D6DFA" w:rsidRDefault="004D6DFA" w:rsidP="004D6DFA">
      <w:pPr>
        <w:pStyle w:val="ListParagraph"/>
        <w:numPr>
          <w:ilvl w:val="0"/>
          <w:numId w:val="9"/>
        </w:numPr>
      </w:pPr>
      <w:r>
        <w:t>Initial-Member is new to Medicare: $</w:t>
      </w:r>
      <w:r w:rsidR="00B951DC">
        <w:t>6</w:t>
      </w:r>
      <w:r w:rsidR="004701EB">
        <w:t>26</w:t>
      </w:r>
      <w:r>
        <w:t>.00</w:t>
      </w:r>
    </w:p>
    <w:p w14:paraId="789E0782" w14:textId="4CCF7167" w:rsidR="004D6DFA" w:rsidRDefault="004D6DFA" w:rsidP="004D6DFA">
      <w:pPr>
        <w:pStyle w:val="ListParagraph"/>
        <w:numPr>
          <w:ilvl w:val="0"/>
          <w:numId w:val="9"/>
        </w:numPr>
      </w:pPr>
      <w:r>
        <w:t>Renewal-Member is switching from another plan: $</w:t>
      </w:r>
      <w:r w:rsidR="00B951DC">
        <w:t>3</w:t>
      </w:r>
      <w:r w:rsidR="004701EB">
        <w:t>13</w:t>
      </w:r>
      <w:r>
        <w:t>.00</w:t>
      </w:r>
    </w:p>
    <w:p w14:paraId="6193103E" w14:textId="69FEC4FA" w:rsidR="004D6DFA" w:rsidRDefault="004D6DFA" w:rsidP="004D6DFA">
      <w:r w:rsidRPr="004D6DFA">
        <w:rPr>
          <w:b/>
          <w:bCs/>
          <w:u w:val="single"/>
        </w:rPr>
        <w:t>Example Scenarios in 202</w:t>
      </w:r>
      <w:r w:rsidR="004701EB">
        <w:rPr>
          <w:b/>
          <w:bCs/>
          <w:u w:val="single"/>
        </w:rPr>
        <w:t>5</w:t>
      </w:r>
      <w:r>
        <w:t>:</w:t>
      </w:r>
      <w:r w:rsidR="00B6552D">
        <w:t xml:space="preserve">  </w:t>
      </w:r>
    </w:p>
    <w:p w14:paraId="61E30AD7" w14:textId="74EC0A2E" w:rsidR="004D6DFA" w:rsidRDefault="004D6DFA" w:rsidP="004D6DFA">
      <w:pPr>
        <w:pStyle w:val="ListParagraph"/>
        <w:numPr>
          <w:ilvl w:val="0"/>
          <w:numId w:val="12"/>
        </w:numPr>
      </w:pPr>
      <w:r>
        <w:t>Member is aging into Medicare with a 2/1 effective date.  Enrollment accepted by CMS on 1/3:</w:t>
      </w:r>
    </w:p>
    <w:p w14:paraId="5E23BEA8" w14:textId="65FC8D48" w:rsidR="004D6DFA" w:rsidRDefault="004D6DFA" w:rsidP="004D6DFA">
      <w:pPr>
        <w:pStyle w:val="ListParagraph"/>
        <w:numPr>
          <w:ilvl w:val="0"/>
          <w:numId w:val="10"/>
        </w:numPr>
      </w:pPr>
      <w:r>
        <w:t>Agent will receive a commission payment of $</w:t>
      </w:r>
      <w:r w:rsidR="00B951DC">
        <w:t>3</w:t>
      </w:r>
      <w:r w:rsidR="004701EB">
        <w:t>13</w:t>
      </w:r>
      <w:r>
        <w:t xml:space="preserve"> on </w:t>
      </w:r>
      <w:r w:rsidR="00B27CAF">
        <w:t xml:space="preserve">the </w:t>
      </w:r>
      <w:proofErr w:type="gramStart"/>
      <w:r w:rsidR="00B27CAF">
        <w:t>1</w:t>
      </w:r>
      <w:r w:rsidR="00B27CAF" w:rsidRPr="00B27CAF">
        <w:rPr>
          <w:vertAlign w:val="superscript"/>
        </w:rPr>
        <w:t>st</w:t>
      </w:r>
      <w:proofErr w:type="gramEnd"/>
      <w:r w:rsidR="00B27CAF">
        <w:t xml:space="preserve"> </w:t>
      </w:r>
      <w:r>
        <w:t xml:space="preserve">January </w:t>
      </w:r>
      <w:r w:rsidR="00B27CAF">
        <w:t>payment.</w:t>
      </w:r>
      <w:r>
        <w:t xml:space="preserve">  </w:t>
      </w:r>
    </w:p>
    <w:p w14:paraId="7D6CF511" w14:textId="5F8233D3" w:rsidR="004D6DFA" w:rsidRDefault="004D6DFA" w:rsidP="004D6DFA">
      <w:pPr>
        <w:pStyle w:val="ListParagraph"/>
        <w:numPr>
          <w:ilvl w:val="0"/>
          <w:numId w:val="10"/>
        </w:numPr>
      </w:pPr>
      <w:r>
        <w:t>Agent will receive a “True-Up” commission payment of $</w:t>
      </w:r>
      <w:r w:rsidR="00B951DC">
        <w:t>3</w:t>
      </w:r>
      <w:r w:rsidR="004701EB">
        <w:t>13</w:t>
      </w:r>
      <w:r>
        <w:t xml:space="preserve"> on </w:t>
      </w:r>
      <w:r w:rsidR="00B27CAF">
        <w:t xml:space="preserve">the </w:t>
      </w:r>
      <w:proofErr w:type="gramStart"/>
      <w:r w:rsidR="00B27CAF">
        <w:t>1</w:t>
      </w:r>
      <w:r w:rsidR="00B27CAF" w:rsidRPr="00B27CAF">
        <w:rPr>
          <w:vertAlign w:val="superscript"/>
        </w:rPr>
        <w:t>st</w:t>
      </w:r>
      <w:proofErr w:type="gramEnd"/>
      <w:r w:rsidR="00B27CAF">
        <w:t xml:space="preserve"> </w:t>
      </w:r>
      <w:r>
        <w:t xml:space="preserve">February </w:t>
      </w:r>
      <w:r w:rsidR="00B27CAF">
        <w:t>payment.</w:t>
      </w:r>
      <w:r>
        <w:t xml:space="preserve"> </w:t>
      </w:r>
    </w:p>
    <w:p w14:paraId="3B2FD905" w14:textId="20E2C027" w:rsidR="00B6552D" w:rsidRDefault="004D6DFA" w:rsidP="00B6552D">
      <w:pPr>
        <w:pStyle w:val="ListParagraph"/>
        <w:numPr>
          <w:ilvl w:val="0"/>
          <w:numId w:val="12"/>
        </w:numPr>
      </w:pPr>
      <w:proofErr w:type="gramStart"/>
      <w:r>
        <w:t>Member is</w:t>
      </w:r>
      <w:proofErr w:type="gramEnd"/>
      <w:r>
        <w:t xml:space="preserve"> switching from another </w:t>
      </w:r>
      <w:r w:rsidR="00B6552D">
        <w:t>MAPD plan during OEP.  Enrollment Accepted by CMS on 2/18:</w:t>
      </w:r>
    </w:p>
    <w:p w14:paraId="35F25BFB" w14:textId="007081AE" w:rsidR="00B6552D" w:rsidRDefault="00B6552D" w:rsidP="00B6552D">
      <w:pPr>
        <w:pStyle w:val="ListParagraph"/>
        <w:numPr>
          <w:ilvl w:val="0"/>
          <w:numId w:val="14"/>
        </w:numPr>
      </w:pPr>
      <w:r>
        <w:t>Agent will receive a commission payment of $</w:t>
      </w:r>
      <w:r w:rsidR="00B951DC">
        <w:t>3</w:t>
      </w:r>
      <w:r w:rsidR="004701EB">
        <w:t>13</w:t>
      </w:r>
      <w:r>
        <w:t xml:space="preserve"> on </w:t>
      </w:r>
      <w:r w:rsidR="00B27CAF">
        <w:t xml:space="preserve">the </w:t>
      </w:r>
      <w:proofErr w:type="gramStart"/>
      <w:r w:rsidR="00B27CAF">
        <w:t>2</w:t>
      </w:r>
      <w:r w:rsidR="00B27CAF" w:rsidRPr="00B27CAF">
        <w:rPr>
          <w:vertAlign w:val="superscript"/>
        </w:rPr>
        <w:t>nd</w:t>
      </w:r>
      <w:proofErr w:type="gramEnd"/>
      <w:r w:rsidR="00B27CAF">
        <w:t xml:space="preserve"> </w:t>
      </w:r>
      <w:r>
        <w:t xml:space="preserve">February </w:t>
      </w:r>
      <w:r w:rsidR="00B27CAF">
        <w:t>payment.</w:t>
      </w:r>
    </w:p>
    <w:p w14:paraId="1FE32C7E" w14:textId="2AAEE1F6" w:rsidR="00B6552D" w:rsidRDefault="00B6552D" w:rsidP="00B6552D">
      <w:pPr>
        <w:pStyle w:val="ListParagraph"/>
        <w:numPr>
          <w:ilvl w:val="0"/>
          <w:numId w:val="12"/>
        </w:numPr>
      </w:pPr>
      <w:r>
        <w:t>Member is new to Medicare and was enrolled and accepted during AEP with a 1/1 effective date</w:t>
      </w:r>
    </w:p>
    <w:p w14:paraId="121F62AD" w14:textId="5ED840D8" w:rsidR="00B6552D" w:rsidRDefault="00B6552D" w:rsidP="00B6552D">
      <w:pPr>
        <w:pStyle w:val="ListParagraph"/>
        <w:numPr>
          <w:ilvl w:val="0"/>
          <w:numId w:val="16"/>
        </w:numPr>
      </w:pPr>
      <w:r>
        <w:t xml:space="preserve">       Agent will receive a full initial commission payment of $</w:t>
      </w:r>
      <w:r w:rsidR="00B951DC">
        <w:t>6</w:t>
      </w:r>
      <w:r w:rsidR="004701EB">
        <w:t>26</w:t>
      </w:r>
      <w:r>
        <w:t xml:space="preserve"> on </w:t>
      </w:r>
      <w:r w:rsidR="00B27CAF">
        <w:t xml:space="preserve">the </w:t>
      </w:r>
      <w:proofErr w:type="gramStart"/>
      <w:r w:rsidR="00B27CAF">
        <w:t>1</w:t>
      </w:r>
      <w:r w:rsidR="00B27CAF" w:rsidRPr="00B27CAF">
        <w:rPr>
          <w:vertAlign w:val="superscript"/>
        </w:rPr>
        <w:t>st</w:t>
      </w:r>
      <w:proofErr w:type="gramEnd"/>
      <w:r w:rsidR="00B27CAF">
        <w:t xml:space="preserve"> </w:t>
      </w:r>
      <w:r>
        <w:t xml:space="preserve">January </w:t>
      </w:r>
      <w:r w:rsidR="00B27CAF">
        <w:t>payment</w:t>
      </w:r>
      <w:r>
        <w:t>.</w:t>
      </w:r>
    </w:p>
    <w:p w14:paraId="7343204E" w14:textId="6B116D53" w:rsidR="004D6DFA" w:rsidRPr="00473811" w:rsidRDefault="00364F0B" w:rsidP="00364F0B">
      <w:pPr>
        <w:tabs>
          <w:tab w:val="left" w:pos="2115"/>
        </w:tabs>
      </w:pPr>
      <w:r>
        <w:lastRenderedPageBreak/>
        <w:tab/>
      </w:r>
    </w:p>
    <w:tbl>
      <w:tblPr>
        <w:tblStyle w:val="GridTable4-Accent3"/>
        <w:tblW w:w="0" w:type="auto"/>
        <w:tblLook w:val="04A0" w:firstRow="1" w:lastRow="0" w:firstColumn="1" w:lastColumn="0" w:noHBand="0" w:noVBand="1"/>
      </w:tblPr>
      <w:tblGrid>
        <w:gridCol w:w="10790"/>
      </w:tblGrid>
      <w:tr w:rsidR="007B00C1" w:rsidRPr="00057780" w14:paraId="20BAA11F" w14:textId="77777777" w:rsidTr="0026254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115E67"/>
            <w:vAlign w:val="center"/>
          </w:tcPr>
          <w:p w14:paraId="7F48A3A3" w14:textId="6134F522" w:rsidR="007B00C1" w:rsidRPr="00057780" w:rsidRDefault="007B00C1" w:rsidP="00262543">
            <w:pPr>
              <w:rPr>
                <w:rFonts w:ascii="Open Sans" w:hAnsi="Open Sans" w:cs="Open Sans"/>
                <w:b w:val="0"/>
              </w:rPr>
            </w:pPr>
            <w:bookmarkStart w:id="1" w:name="_Hlk91108508"/>
            <w:r>
              <w:rPr>
                <w:sz w:val="32"/>
                <w:szCs w:val="32"/>
              </w:rPr>
              <w:t>Compensation Chargebacks</w:t>
            </w:r>
          </w:p>
        </w:tc>
      </w:tr>
    </w:tbl>
    <w:bookmarkEnd w:id="1"/>
    <w:p w14:paraId="7BA60CE5" w14:textId="03CA7722" w:rsidR="007B00C1" w:rsidRDefault="007B00C1">
      <w:r w:rsidRPr="007B00C1">
        <w:t>ATRIO is required to recover compensation payments from agents in either the initial year or renewal year under the following two circumstances:</w:t>
      </w:r>
    </w:p>
    <w:p w14:paraId="189C7098" w14:textId="77777777" w:rsidR="007B00C1" w:rsidRDefault="007B00C1" w:rsidP="007B00C1">
      <w:r>
        <w:t>1.</w:t>
      </w:r>
      <w:r>
        <w:tab/>
      </w:r>
      <w:r w:rsidRPr="007B00C1">
        <w:rPr>
          <w:b/>
          <w:bCs/>
        </w:rPr>
        <w:t>The beneficiary disenrolls from a plan within the first three months of enrollment:</w:t>
      </w:r>
    </w:p>
    <w:p w14:paraId="449839E8" w14:textId="39D59377" w:rsidR="007B00C1" w:rsidRDefault="007B00C1" w:rsidP="007B00C1">
      <w:pPr>
        <w:pStyle w:val="ListParagraph"/>
        <w:numPr>
          <w:ilvl w:val="0"/>
          <w:numId w:val="2"/>
        </w:numPr>
      </w:pPr>
      <w:r>
        <w:t>When a beneficiary disenrolls from the plan within the first three months of the enrollment and the disenrollment is voluntary, ATRIO will recover the full payment made to the agent.</w:t>
      </w:r>
    </w:p>
    <w:p w14:paraId="1EF24616" w14:textId="01D1FBE3" w:rsidR="007B00C1" w:rsidRDefault="007B00C1" w:rsidP="007B00C1">
      <w:pPr>
        <w:pStyle w:val="ListParagraph"/>
        <w:numPr>
          <w:ilvl w:val="0"/>
          <w:numId w:val="2"/>
        </w:numPr>
      </w:pPr>
      <w:r>
        <w:t>When a beneficiary disenrolls from the plan within the first three months of the enrollment and the disenrollment is involuntary ATRIO will recover only the months of the plan year the agent was paid for, in which the beneficiary is not enrolled.</w:t>
      </w:r>
    </w:p>
    <w:p w14:paraId="34BABA3D" w14:textId="07ADF7F6" w:rsidR="007B00C1" w:rsidRDefault="007B00C1" w:rsidP="007B00C1">
      <w:r>
        <w:t>2.</w:t>
      </w:r>
      <w:r>
        <w:tab/>
      </w:r>
      <w:r w:rsidRPr="007B00C1">
        <w:rPr>
          <w:b/>
          <w:bCs/>
        </w:rPr>
        <w:t>Any other time a beneficiary is not enrolled in ATRIO plan</w:t>
      </w:r>
      <w:r>
        <w:rPr>
          <w:b/>
          <w:bCs/>
        </w:rPr>
        <w:t>:</w:t>
      </w:r>
    </w:p>
    <w:p w14:paraId="7A878FEC" w14:textId="7AA7A768" w:rsidR="007B00C1" w:rsidRDefault="007B00C1" w:rsidP="007B00C1">
      <w:pPr>
        <w:pStyle w:val="ListParagraph"/>
        <w:numPr>
          <w:ilvl w:val="0"/>
          <w:numId w:val="2"/>
        </w:numPr>
      </w:pPr>
      <w:r>
        <w:t xml:space="preserve">When a beneficiary either enrolls and disenrolls voluntarily prior to the effective date or is unable to enroll in </w:t>
      </w:r>
      <w:proofErr w:type="gramStart"/>
      <w:r>
        <w:t>a ATRIO</w:t>
      </w:r>
      <w:proofErr w:type="gramEnd"/>
      <w:r>
        <w:t xml:space="preserve"> plan for some reason, no compensation will be paid. If compensation is paid, the entire amount paid will be recovered.</w:t>
      </w:r>
    </w:p>
    <w:p w14:paraId="3DA941CD" w14:textId="731E903B" w:rsidR="007B00C1" w:rsidRDefault="007B00C1" w:rsidP="007B00C1">
      <w:pPr>
        <w:pStyle w:val="ListParagraph"/>
        <w:numPr>
          <w:ilvl w:val="0"/>
          <w:numId w:val="2"/>
        </w:numPr>
      </w:pPr>
      <w:r>
        <w:t xml:space="preserve">When a beneficiary </w:t>
      </w:r>
      <w:r w:rsidR="00353E81">
        <w:t xml:space="preserve">voluntarily </w:t>
      </w:r>
      <w:r>
        <w:t xml:space="preserve">disenrolls from the plan at any point after the first three months of the enrollment, ATRIO </w:t>
      </w:r>
      <w:r w:rsidR="00353E81">
        <w:t>chargeback</w:t>
      </w:r>
      <w:r>
        <w:t xml:space="preserve"> commissions paid to the agent/agency</w:t>
      </w:r>
      <w:r w:rsidR="00353E81">
        <w:t xml:space="preserve"> at a prorated amount for the remaining months the member is not enrolled with ATRIO Health Plans</w:t>
      </w:r>
      <w:r>
        <w:t>.</w:t>
      </w:r>
    </w:p>
    <w:p w14:paraId="0E43FFBE" w14:textId="1A00D9C1" w:rsidR="009060B3" w:rsidRDefault="00BF7AF0" w:rsidP="004701EB">
      <w:r w:rsidRPr="00BF7AF0">
        <w:t xml:space="preserve">Chargebacks will be recovered from both new and renewal commissions in the next available commission cycle. If there </w:t>
      </w:r>
      <w:proofErr w:type="gramStart"/>
      <w:r w:rsidRPr="00BF7AF0">
        <w:t>is</w:t>
      </w:r>
      <w:proofErr w:type="gramEnd"/>
      <w:r w:rsidRPr="00BF7AF0">
        <w:t xml:space="preserve"> not enough new or renewal commissions to offset the chargeback, the balance of the chargeback is rolled into the next commission cycle. This continues until the chargeback is repaid in full.</w:t>
      </w:r>
    </w:p>
    <w:tbl>
      <w:tblPr>
        <w:tblStyle w:val="GridTable4-Accent3"/>
        <w:tblW w:w="0" w:type="auto"/>
        <w:tblLook w:val="04A0" w:firstRow="1" w:lastRow="0" w:firstColumn="1" w:lastColumn="0" w:noHBand="0" w:noVBand="1"/>
      </w:tblPr>
      <w:tblGrid>
        <w:gridCol w:w="10790"/>
      </w:tblGrid>
      <w:tr w:rsidR="003326EB" w:rsidRPr="00057780" w14:paraId="30F7098D" w14:textId="77777777" w:rsidTr="005F280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115E67"/>
            <w:vAlign w:val="center"/>
          </w:tcPr>
          <w:p w14:paraId="5EAD1477" w14:textId="2C8D4106" w:rsidR="003326EB" w:rsidRPr="00057780" w:rsidRDefault="003326EB" w:rsidP="005F2800">
            <w:pPr>
              <w:rPr>
                <w:rFonts w:ascii="Open Sans" w:hAnsi="Open Sans" w:cs="Open Sans"/>
                <w:b w:val="0"/>
              </w:rPr>
            </w:pPr>
            <w:r>
              <w:rPr>
                <w:sz w:val="32"/>
                <w:szCs w:val="32"/>
              </w:rPr>
              <w:t>Medicare Certification Reimbursement</w:t>
            </w:r>
          </w:p>
        </w:tc>
      </w:tr>
    </w:tbl>
    <w:p w14:paraId="12819BC3" w14:textId="23EFC090" w:rsidR="00ED1ACA" w:rsidRDefault="00ED1ACA" w:rsidP="009060B3"/>
    <w:p w14:paraId="3FBB1460" w14:textId="2879E857" w:rsidR="003326EB" w:rsidRDefault="003326EB" w:rsidP="009060B3">
      <w:r>
        <w:t>ATRIO Health Plans will reimburse the cost of your annual Medicare Certification course (up to $125) if you:</w:t>
      </w:r>
    </w:p>
    <w:p w14:paraId="67D31F14" w14:textId="4E5F082E" w:rsidR="003326EB" w:rsidRDefault="003326EB" w:rsidP="003326EB">
      <w:pPr>
        <w:pStyle w:val="ListParagraph"/>
        <w:numPr>
          <w:ilvl w:val="0"/>
          <w:numId w:val="16"/>
        </w:numPr>
      </w:pPr>
      <w:r>
        <w:t>Complete AHIP/NAHU/or GHG Medicare Certification training and all ATRIO required 202</w:t>
      </w:r>
      <w:r w:rsidR="004701EB">
        <w:t>5</w:t>
      </w:r>
      <w:r>
        <w:t xml:space="preserve"> certification courses</w:t>
      </w:r>
    </w:p>
    <w:p w14:paraId="11AF6005" w14:textId="0A886F92" w:rsidR="00ED1ACA" w:rsidRDefault="003326EB" w:rsidP="009060B3">
      <w:pPr>
        <w:pStyle w:val="ListParagraph"/>
        <w:numPr>
          <w:ilvl w:val="0"/>
          <w:numId w:val="16"/>
        </w:numPr>
      </w:pPr>
      <w:r>
        <w:t>Sell at least three (3) new applications during AEP with an effective date of January 1, 202</w:t>
      </w:r>
      <w:r w:rsidR="004701EB">
        <w:t>5</w:t>
      </w:r>
    </w:p>
    <w:p w14:paraId="6AB914C0" w14:textId="77245CD9" w:rsidR="00ED1ACA" w:rsidRDefault="003326EB" w:rsidP="009060B3">
      <w:r>
        <w:t>Payment for reimbursement will be disbursed in January 202</w:t>
      </w:r>
      <w:r w:rsidR="004701EB">
        <w:t>5</w:t>
      </w:r>
      <w:r>
        <w:t>.</w:t>
      </w:r>
    </w:p>
    <w:tbl>
      <w:tblPr>
        <w:tblStyle w:val="GridTable4-Accent3"/>
        <w:tblW w:w="0" w:type="auto"/>
        <w:tblLook w:val="04A0" w:firstRow="1" w:lastRow="0" w:firstColumn="1" w:lastColumn="0" w:noHBand="0" w:noVBand="1"/>
      </w:tblPr>
      <w:tblGrid>
        <w:gridCol w:w="10790"/>
      </w:tblGrid>
      <w:tr w:rsidR="00BF7AF0" w:rsidRPr="00057780" w14:paraId="05232C37" w14:textId="77777777" w:rsidTr="0026254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115E67"/>
            <w:vAlign w:val="center"/>
          </w:tcPr>
          <w:p w14:paraId="110B9A17" w14:textId="046D108B" w:rsidR="00BF7AF0" w:rsidRPr="00057780" w:rsidRDefault="00BF7AF0" w:rsidP="00262543">
            <w:pPr>
              <w:rPr>
                <w:rFonts w:ascii="Open Sans" w:hAnsi="Open Sans" w:cs="Open Sans"/>
                <w:b w:val="0"/>
              </w:rPr>
            </w:pPr>
            <w:r>
              <w:rPr>
                <w:sz w:val="32"/>
                <w:szCs w:val="32"/>
              </w:rPr>
              <w:t>202</w:t>
            </w:r>
            <w:r w:rsidR="00B56579">
              <w:rPr>
                <w:sz w:val="32"/>
                <w:szCs w:val="32"/>
              </w:rPr>
              <w:t>5</w:t>
            </w:r>
            <w:r>
              <w:rPr>
                <w:sz w:val="32"/>
                <w:szCs w:val="32"/>
              </w:rPr>
              <w:t xml:space="preserve"> Commission </w:t>
            </w:r>
            <w:r w:rsidR="00B56579">
              <w:rPr>
                <w:sz w:val="32"/>
                <w:szCs w:val="32"/>
              </w:rPr>
              <w:t>Changes</w:t>
            </w:r>
          </w:p>
        </w:tc>
      </w:tr>
    </w:tbl>
    <w:p w14:paraId="3A94A806" w14:textId="77777777" w:rsidR="00825950" w:rsidRDefault="00825950" w:rsidP="00FE6673"/>
    <w:p w14:paraId="401F445D" w14:textId="033FA5F6" w:rsidR="0031760E" w:rsidRDefault="002A6EF9" w:rsidP="002A6EF9">
      <w:r>
        <w:t>*</w:t>
      </w:r>
      <w:r w:rsidRPr="002A6EF9">
        <w:rPr>
          <w:b/>
          <w:bCs/>
        </w:rPr>
        <w:t>Nevada Counties</w:t>
      </w:r>
      <w:r>
        <w:t xml:space="preserve">: Beginning January 1, </w:t>
      </w:r>
      <w:proofErr w:type="gramStart"/>
      <w:r>
        <w:t>2025</w:t>
      </w:r>
      <w:proofErr w:type="gramEnd"/>
      <w:r>
        <w:t xml:space="preserve"> for all plan effective dates, commissions for MAPD and MA ONLY plans will be $50 per new enrollment and $50 per year for a plan renewal.</w:t>
      </w:r>
    </w:p>
    <w:p w14:paraId="463AFE51" w14:textId="34B79092" w:rsidR="002A6EF9" w:rsidRDefault="002A6EF9" w:rsidP="002A6EF9">
      <w:r w:rsidRPr="002A6EF9">
        <w:rPr>
          <w:b/>
          <w:bCs/>
        </w:rPr>
        <w:t>**Klamath County</w:t>
      </w:r>
      <w:r>
        <w:t xml:space="preserve">: For the period from January 1, 2025 - April 1, </w:t>
      </w:r>
      <w:proofErr w:type="gramStart"/>
      <w:r>
        <w:t>2025</w:t>
      </w:r>
      <w:proofErr w:type="gramEnd"/>
      <w:r>
        <w:t xml:space="preserve"> plan effective dates, commissions for MAPD/MA ONLY plans will be $50 per new enrollment.  These changes do not apply to DSNP enrollments</w:t>
      </w:r>
    </w:p>
    <w:p w14:paraId="3E24E731" w14:textId="51710654" w:rsidR="002A6EF9" w:rsidRPr="002A6EF9" w:rsidRDefault="002A6EF9" w:rsidP="002A6EF9">
      <w:pPr>
        <w:rPr>
          <w:b/>
          <w:bCs/>
        </w:rPr>
      </w:pPr>
      <w:r w:rsidRPr="002A6EF9">
        <w:rPr>
          <w:b/>
          <w:bCs/>
        </w:rPr>
        <w:t>*** ATRIO Health Plans will no longer pay an incentive for completion of an enrollment application which includes all member data fields.</w:t>
      </w:r>
    </w:p>
    <w:p w14:paraId="3196B56C" w14:textId="7D8211FB" w:rsidR="002A6EF9" w:rsidRDefault="00E76156" w:rsidP="002A6EF9">
      <w:r>
        <w:t xml:space="preserve">****Additional details and FAQs have been emailed and can also be found at </w:t>
      </w:r>
      <w:hyperlink r:id="rId8" w:history="1">
        <w:r w:rsidRPr="00224004">
          <w:rPr>
            <w:rStyle w:val="Hyperlink"/>
          </w:rPr>
          <w:t>www.growatrio.com</w:t>
        </w:r>
      </w:hyperlink>
      <w:r>
        <w:t xml:space="preserve"> </w:t>
      </w:r>
    </w:p>
    <w:p w14:paraId="0DFD1A58" w14:textId="77777777" w:rsidR="00E76156" w:rsidRPr="00E76156" w:rsidRDefault="00E76156" w:rsidP="00E76156">
      <w:pPr>
        <w:ind w:firstLine="720"/>
      </w:pPr>
    </w:p>
    <w:sectPr w:rsidR="00E76156" w:rsidRPr="00E76156" w:rsidSect="00E637F5">
      <w:footerReference w:type="default" r:id="rId9"/>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4CF6" w14:textId="77777777" w:rsidR="000C5624" w:rsidRDefault="000C5624" w:rsidP="00E45BFD">
      <w:pPr>
        <w:spacing w:after="0" w:line="240" w:lineRule="auto"/>
      </w:pPr>
      <w:r>
        <w:separator/>
      </w:r>
    </w:p>
  </w:endnote>
  <w:endnote w:type="continuationSeparator" w:id="0">
    <w:p w14:paraId="3D3AE08F" w14:textId="77777777" w:rsidR="000C5624" w:rsidRDefault="000C5624" w:rsidP="00E4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25C8" w14:textId="0F81F2FE" w:rsidR="00B42141" w:rsidRDefault="00B42141">
    <w:pPr>
      <w:pStyle w:val="Footer"/>
    </w:pPr>
    <w:r>
      <w:rPr>
        <w:b/>
        <w:bCs/>
        <w:color w:val="000000"/>
        <w:sz w:val="24"/>
        <w:szCs w:val="24"/>
      </w:rPr>
      <w:t>Y0084_AG_CFL1_202</w:t>
    </w:r>
    <w:r w:rsidR="00E76156">
      <w:rPr>
        <w:b/>
        <w:bCs/>
        <w:color w:val="000000"/>
        <w:sz w:val="24"/>
        <w:szCs w:val="24"/>
      </w:rPr>
      <w:t>5</w:t>
    </w:r>
    <w:r>
      <w:rPr>
        <w:b/>
        <w:bCs/>
        <w:color w:val="000000"/>
        <w:sz w:val="24"/>
        <w:szCs w:val="24"/>
      </w:rPr>
      <w:t>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FD79" w14:textId="77777777" w:rsidR="000C5624" w:rsidRDefault="000C5624" w:rsidP="00E45BFD">
      <w:pPr>
        <w:spacing w:after="0" w:line="240" w:lineRule="auto"/>
      </w:pPr>
      <w:r>
        <w:separator/>
      </w:r>
    </w:p>
  </w:footnote>
  <w:footnote w:type="continuationSeparator" w:id="0">
    <w:p w14:paraId="44030529" w14:textId="77777777" w:rsidR="000C5624" w:rsidRDefault="000C5624" w:rsidP="00E4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471"/>
    <w:multiLevelType w:val="hybridMultilevel"/>
    <w:tmpl w:val="C6ECBE7C"/>
    <w:lvl w:ilvl="0" w:tplc="E9143CA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93C39"/>
    <w:multiLevelType w:val="hybridMultilevel"/>
    <w:tmpl w:val="1D22241E"/>
    <w:lvl w:ilvl="0" w:tplc="E9143CA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4F6C9D"/>
    <w:multiLevelType w:val="hybridMultilevel"/>
    <w:tmpl w:val="490CB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0574C"/>
    <w:multiLevelType w:val="hybridMultilevel"/>
    <w:tmpl w:val="D792A260"/>
    <w:lvl w:ilvl="0" w:tplc="0C00A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000B77"/>
    <w:multiLevelType w:val="hybridMultilevel"/>
    <w:tmpl w:val="E9EC84E2"/>
    <w:lvl w:ilvl="0" w:tplc="E9143CA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BF23FB"/>
    <w:multiLevelType w:val="hybridMultilevel"/>
    <w:tmpl w:val="25F81754"/>
    <w:lvl w:ilvl="0" w:tplc="E9143CA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C4259"/>
    <w:multiLevelType w:val="hybridMultilevel"/>
    <w:tmpl w:val="1092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D1569"/>
    <w:multiLevelType w:val="hybridMultilevel"/>
    <w:tmpl w:val="2C16AE94"/>
    <w:lvl w:ilvl="0" w:tplc="E9143C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D1373"/>
    <w:multiLevelType w:val="hybridMultilevel"/>
    <w:tmpl w:val="B256F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081B96"/>
    <w:multiLevelType w:val="hybridMultilevel"/>
    <w:tmpl w:val="EB02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64549"/>
    <w:multiLevelType w:val="hybridMultilevel"/>
    <w:tmpl w:val="348C3B8E"/>
    <w:lvl w:ilvl="0" w:tplc="E9143C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52202"/>
    <w:multiLevelType w:val="hybridMultilevel"/>
    <w:tmpl w:val="94E81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B6E7D"/>
    <w:multiLevelType w:val="hybridMultilevel"/>
    <w:tmpl w:val="F364D0E8"/>
    <w:lvl w:ilvl="0" w:tplc="E9143C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61F38"/>
    <w:multiLevelType w:val="hybridMultilevel"/>
    <w:tmpl w:val="CDB8A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5F0CEE"/>
    <w:multiLevelType w:val="hybridMultilevel"/>
    <w:tmpl w:val="F8AC7E86"/>
    <w:lvl w:ilvl="0" w:tplc="E9143CA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1406BB"/>
    <w:multiLevelType w:val="hybridMultilevel"/>
    <w:tmpl w:val="E626CE9A"/>
    <w:lvl w:ilvl="0" w:tplc="E9143CA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876234">
    <w:abstractNumId w:val="9"/>
  </w:num>
  <w:num w:numId="2" w16cid:durableId="1075862630">
    <w:abstractNumId w:val="10"/>
  </w:num>
  <w:num w:numId="3" w16cid:durableId="2108577893">
    <w:abstractNumId w:val="7"/>
  </w:num>
  <w:num w:numId="4" w16cid:durableId="1058821338">
    <w:abstractNumId w:val="4"/>
  </w:num>
  <w:num w:numId="5" w16cid:durableId="2001688285">
    <w:abstractNumId w:val="12"/>
  </w:num>
  <w:num w:numId="6" w16cid:durableId="2067071484">
    <w:abstractNumId w:val="3"/>
  </w:num>
  <w:num w:numId="7" w16cid:durableId="1418361154">
    <w:abstractNumId w:val="11"/>
  </w:num>
  <w:num w:numId="8" w16cid:durableId="1366909837">
    <w:abstractNumId w:val="15"/>
  </w:num>
  <w:num w:numId="9" w16cid:durableId="425199113">
    <w:abstractNumId w:val="14"/>
  </w:num>
  <w:num w:numId="10" w16cid:durableId="358556938">
    <w:abstractNumId w:val="1"/>
  </w:num>
  <w:num w:numId="11" w16cid:durableId="1321932214">
    <w:abstractNumId w:val="6"/>
  </w:num>
  <w:num w:numId="12" w16cid:durableId="1383751556">
    <w:abstractNumId w:val="2"/>
  </w:num>
  <w:num w:numId="13" w16cid:durableId="1623804767">
    <w:abstractNumId w:val="5"/>
  </w:num>
  <w:num w:numId="14" w16cid:durableId="702630191">
    <w:abstractNumId w:val="0"/>
  </w:num>
  <w:num w:numId="15" w16cid:durableId="325673390">
    <w:abstractNumId w:val="8"/>
  </w:num>
  <w:num w:numId="16" w16cid:durableId="1683121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82"/>
    <w:rsid w:val="00057780"/>
    <w:rsid w:val="000C5624"/>
    <w:rsid w:val="0018498A"/>
    <w:rsid w:val="001E4546"/>
    <w:rsid w:val="00277775"/>
    <w:rsid w:val="002A6EF9"/>
    <w:rsid w:val="0031760E"/>
    <w:rsid w:val="003326EB"/>
    <w:rsid w:val="00353E81"/>
    <w:rsid w:val="00364F0B"/>
    <w:rsid w:val="00373831"/>
    <w:rsid w:val="00376133"/>
    <w:rsid w:val="00392613"/>
    <w:rsid w:val="003A1738"/>
    <w:rsid w:val="003B1D9B"/>
    <w:rsid w:val="00412973"/>
    <w:rsid w:val="004701EB"/>
    <w:rsid w:val="00473811"/>
    <w:rsid w:val="004D6DFA"/>
    <w:rsid w:val="004F43C8"/>
    <w:rsid w:val="00533F48"/>
    <w:rsid w:val="006A2B14"/>
    <w:rsid w:val="007447AA"/>
    <w:rsid w:val="007B00C1"/>
    <w:rsid w:val="007D7891"/>
    <w:rsid w:val="00825950"/>
    <w:rsid w:val="00865334"/>
    <w:rsid w:val="008B2A00"/>
    <w:rsid w:val="008F4981"/>
    <w:rsid w:val="009060B3"/>
    <w:rsid w:val="00A707BC"/>
    <w:rsid w:val="00A709B2"/>
    <w:rsid w:val="00B15651"/>
    <w:rsid w:val="00B27CAF"/>
    <w:rsid w:val="00B42141"/>
    <w:rsid w:val="00B56579"/>
    <w:rsid w:val="00B6552D"/>
    <w:rsid w:val="00B951DC"/>
    <w:rsid w:val="00BF7AF0"/>
    <w:rsid w:val="00C54064"/>
    <w:rsid w:val="00C61D2B"/>
    <w:rsid w:val="00CB4782"/>
    <w:rsid w:val="00CE3567"/>
    <w:rsid w:val="00D32633"/>
    <w:rsid w:val="00DC745C"/>
    <w:rsid w:val="00E35B21"/>
    <w:rsid w:val="00E45BFD"/>
    <w:rsid w:val="00E637F5"/>
    <w:rsid w:val="00E76156"/>
    <w:rsid w:val="00ED1ACA"/>
    <w:rsid w:val="00F25C28"/>
    <w:rsid w:val="00F92B67"/>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E2F6"/>
  <w15:chartTrackingRefBased/>
  <w15:docId w15:val="{3CB2042A-1D46-4D6B-959B-AB1EF70D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70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9B2"/>
    <w:rPr>
      <w:rFonts w:asciiTheme="majorHAnsi" w:eastAsiaTheme="majorEastAsia" w:hAnsiTheme="majorHAnsi" w:cstheme="majorBidi"/>
      <w:spacing w:val="-10"/>
      <w:kern w:val="28"/>
      <w:sz w:val="56"/>
      <w:szCs w:val="56"/>
    </w:rPr>
  </w:style>
  <w:style w:type="table" w:styleId="GridTable5Dark-Accent6">
    <w:name w:val="Grid Table 5 Dark Accent 6"/>
    <w:basedOn w:val="TableNormal"/>
    <w:uiPriority w:val="50"/>
    <w:rsid w:val="00A709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F25C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F25C2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E45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BFD"/>
  </w:style>
  <w:style w:type="paragraph" w:styleId="Footer">
    <w:name w:val="footer"/>
    <w:basedOn w:val="Normal"/>
    <w:link w:val="FooterChar"/>
    <w:uiPriority w:val="99"/>
    <w:unhideWhenUsed/>
    <w:rsid w:val="00E45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BFD"/>
  </w:style>
  <w:style w:type="paragraph" w:styleId="ListParagraph">
    <w:name w:val="List Paragraph"/>
    <w:basedOn w:val="Normal"/>
    <w:uiPriority w:val="34"/>
    <w:qFormat/>
    <w:rsid w:val="007B00C1"/>
    <w:pPr>
      <w:ind w:left="720"/>
      <w:contextualSpacing/>
    </w:pPr>
  </w:style>
  <w:style w:type="table" w:customStyle="1" w:styleId="Calendar4">
    <w:name w:val="Calendar 4"/>
    <w:basedOn w:val="TableNormal"/>
    <w:uiPriority w:val="99"/>
    <w:qFormat/>
    <w:rsid w:val="00FE6673"/>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customStyle="1" w:styleId="Calendar2">
    <w:name w:val="Calendar 2"/>
    <w:basedOn w:val="TableNormal"/>
    <w:uiPriority w:val="99"/>
    <w:qFormat/>
    <w:rsid w:val="00FE6673"/>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E76156"/>
    <w:rPr>
      <w:color w:val="0563C1" w:themeColor="hyperlink"/>
      <w:u w:val="single"/>
    </w:rPr>
  </w:style>
  <w:style w:type="character" w:styleId="UnresolvedMention">
    <w:name w:val="Unresolved Mention"/>
    <w:basedOn w:val="DefaultParagraphFont"/>
    <w:uiPriority w:val="99"/>
    <w:semiHidden/>
    <w:unhideWhenUsed/>
    <w:rsid w:val="00E76156"/>
    <w:rPr>
      <w:color w:val="605E5C"/>
      <w:shd w:val="clear" w:color="auto" w:fill="E1DFDD"/>
    </w:rPr>
  </w:style>
  <w:style w:type="character" w:styleId="FollowedHyperlink">
    <w:name w:val="FollowedHyperlink"/>
    <w:basedOn w:val="DefaultParagraphFont"/>
    <w:uiPriority w:val="99"/>
    <w:semiHidden/>
    <w:unhideWhenUsed/>
    <w:rsid w:val="00E76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2033">
      <w:bodyDiv w:val="1"/>
      <w:marLeft w:val="0"/>
      <w:marRight w:val="0"/>
      <w:marTop w:val="0"/>
      <w:marBottom w:val="0"/>
      <w:divBdr>
        <w:top w:val="none" w:sz="0" w:space="0" w:color="auto"/>
        <w:left w:val="none" w:sz="0" w:space="0" w:color="auto"/>
        <w:bottom w:val="none" w:sz="0" w:space="0" w:color="auto"/>
        <w:right w:val="none" w:sz="0" w:space="0" w:color="auto"/>
      </w:divBdr>
    </w:div>
    <w:div w:id="3408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atr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Hohenberg</dc:creator>
  <cp:keywords/>
  <dc:description/>
  <cp:lastModifiedBy>Ana Cortez</cp:lastModifiedBy>
  <cp:revision>2</cp:revision>
  <cp:lastPrinted>2022-01-04T18:45:00Z</cp:lastPrinted>
  <dcterms:created xsi:type="dcterms:W3CDTF">2024-11-06T18:02:00Z</dcterms:created>
  <dcterms:modified xsi:type="dcterms:W3CDTF">2024-11-06T18:02:00Z</dcterms:modified>
</cp:coreProperties>
</file>